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0DF9" w:rsidRDefault="00CF0DF9" w:rsidP="005D7049">
      <w:pPr>
        <w:rPr>
          <w:b/>
        </w:rPr>
      </w:pPr>
      <w:r>
        <w:rPr>
          <w:b/>
        </w:rPr>
        <w:t>Sample details:</w:t>
      </w:r>
    </w:p>
    <w:p w:rsidR="00CF0DF9" w:rsidRPr="00CF0DF9" w:rsidRDefault="00CF0DF9" w:rsidP="00CF0DF9">
      <w:pPr>
        <w:pStyle w:val="ListParagraph"/>
        <w:numPr>
          <w:ilvl w:val="0"/>
          <w:numId w:val="1"/>
        </w:numPr>
      </w:pPr>
      <w:r w:rsidRPr="00CF0DF9">
        <w:t>Number of respondents: 1,250</w:t>
      </w:r>
    </w:p>
    <w:p w:rsidR="00CF0DF9" w:rsidRPr="00CF0DF9" w:rsidRDefault="00CF0DF9" w:rsidP="005D7049">
      <w:pPr>
        <w:pStyle w:val="ListParagraph"/>
        <w:numPr>
          <w:ilvl w:val="0"/>
          <w:numId w:val="1"/>
        </w:numPr>
      </w:pPr>
      <w:r w:rsidRPr="00CF0DF9">
        <w:t>Administration mode: Computer Assisted Web Interviews (CAWI)</w:t>
      </w:r>
    </w:p>
    <w:p w:rsidR="00CF0DF9" w:rsidRPr="00CF0DF9" w:rsidRDefault="00CF0DF9" w:rsidP="005D7049">
      <w:pPr>
        <w:pStyle w:val="ListParagraph"/>
        <w:numPr>
          <w:ilvl w:val="0"/>
          <w:numId w:val="1"/>
        </w:numPr>
      </w:pPr>
      <w:r w:rsidRPr="00CF0DF9">
        <w:t xml:space="preserve">Date: </w:t>
      </w:r>
      <w:r w:rsidRPr="00CF0DF9">
        <w:t>December 2017 to January 2018</w:t>
      </w:r>
    </w:p>
    <w:p w:rsidR="00CF0DF9" w:rsidRPr="00CF0DF9" w:rsidRDefault="00CF0DF9" w:rsidP="005D7049">
      <w:pPr>
        <w:pStyle w:val="ListParagraph"/>
        <w:numPr>
          <w:ilvl w:val="0"/>
          <w:numId w:val="1"/>
        </w:numPr>
      </w:pPr>
      <w:r w:rsidRPr="00CF0DF9">
        <w:t>Sampling method: members of a large online panel of one of the professional polling companies (PBS) in Poland using the stratified quota sampling method to assure the representativeness of the sample for the target population (adult inhabitants of Warsaw) with respect to gender, age, education and the district of the city</w:t>
      </w:r>
    </w:p>
    <w:p w:rsidR="00CF0DF9" w:rsidRPr="00CF0DF9" w:rsidRDefault="00CF0DF9" w:rsidP="005D7049">
      <w:pPr>
        <w:pStyle w:val="ListParagraph"/>
        <w:numPr>
          <w:ilvl w:val="0"/>
          <w:numId w:val="1"/>
        </w:numPr>
      </w:pPr>
      <w:r w:rsidRPr="00CF0DF9">
        <w:t>Response rate: 48.7%</w:t>
      </w:r>
    </w:p>
    <w:p w:rsidR="00CF0DF9" w:rsidRDefault="00CF0DF9" w:rsidP="005D7049">
      <w:pPr>
        <w:rPr>
          <w:b/>
        </w:rPr>
      </w:pPr>
    </w:p>
    <w:p w:rsidR="00CF0DF9" w:rsidRDefault="00CF0DF9">
      <w:pPr>
        <w:rPr>
          <w:b/>
        </w:rPr>
      </w:pPr>
      <w:r>
        <w:rPr>
          <w:b/>
        </w:rPr>
        <w:br w:type="page"/>
      </w:r>
    </w:p>
    <w:p w:rsidR="005D7049" w:rsidRPr="005D7049" w:rsidRDefault="005D7049" w:rsidP="005D7049">
      <w:pPr>
        <w:rPr>
          <w:b/>
        </w:rPr>
      </w:pPr>
      <w:bookmarkStart w:id="0" w:name="_GoBack"/>
      <w:bookmarkEnd w:id="0"/>
      <w:r w:rsidRPr="005D7049">
        <w:rPr>
          <w:b/>
        </w:rPr>
        <w:lastRenderedPageBreak/>
        <w:t xml:space="preserve">The comparison of sample characteristics with the characteristics of the target population </w:t>
      </w:r>
    </w:p>
    <w:tbl>
      <w:tblPr>
        <w:tblW w:w="44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3"/>
        <w:gridCol w:w="1971"/>
        <w:gridCol w:w="1973"/>
        <w:gridCol w:w="1970"/>
      </w:tblGrid>
      <w:tr w:rsidR="005D7049" w:rsidRPr="006D2B77" w:rsidTr="003E71C6">
        <w:trPr>
          <w:trHeight w:val="31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b/>
              </w:rPr>
            </w:pPr>
            <w:r w:rsidRPr="006D2B77">
              <w:rPr>
                <w:rFonts w:eastAsia="Times New Roman"/>
                <w:b/>
              </w:rPr>
              <w:t>Target population</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b/>
              </w:rPr>
            </w:pPr>
            <w:r w:rsidRPr="006D2B77">
              <w:rPr>
                <w:rFonts w:eastAsia="Times New Roman"/>
                <w:b/>
              </w:rPr>
              <w:t>Sample</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b/>
              </w:rPr>
            </w:pPr>
            <w:r w:rsidRPr="00A617A9">
              <w:rPr>
                <w:rFonts w:eastAsia="Times New Roman"/>
                <w:b/>
              </w:rPr>
              <w:t>Difference</w:t>
            </w:r>
          </w:p>
        </w:tc>
      </w:tr>
      <w:tr w:rsidR="005D7049" w:rsidRPr="006D2B77" w:rsidTr="003E71C6">
        <w:trPr>
          <w:trHeight w:val="300"/>
          <w:jc w:val="center"/>
        </w:trPr>
        <w:tc>
          <w:tcPr>
            <w:tcW w:w="1487" w:type="pct"/>
            <w:shd w:val="clear" w:color="auto" w:fill="auto"/>
            <w:noWrap/>
            <w:vAlign w:val="center"/>
            <w:hideMark/>
          </w:tcPr>
          <w:p w:rsidR="005D7049" w:rsidRPr="006D2B77" w:rsidRDefault="005D7049" w:rsidP="003E71C6">
            <w:pPr>
              <w:spacing w:after="0" w:line="240" w:lineRule="auto"/>
              <w:rPr>
                <w:rFonts w:eastAsia="Times New Roman"/>
                <w:b/>
              </w:rPr>
            </w:pPr>
            <w:r w:rsidRPr="006D2B77">
              <w:rPr>
                <w:rFonts w:eastAsia="Times New Roman"/>
                <w:b/>
              </w:rPr>
              <w:t>Gender</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p>
        </w:tc>
      </w:tr>
      <w:tr w:rsidR="005D7049" w:rsidRPr="006D2B77" w:rsidTr="003E71C6">
        <w:trPr>
          <w:trHeight w:val="290"/>
          <w:jc w:val="center"/>
        </w:trPr>
        <w:tc>
          <w:tcPr>
            <w:tcW w:w="1487" w:type="pct"/>
            <w:shd w:val="clear" w:color="auto" w:fill="auto"/>
            <w:noWrap/>
            <w:vAlign w:val="center"/>
            <w:hideMark/>
          </w:tcPr>
          <w:p w:rsidR="005D7049" w:rsidRPr="006D2B77" w:rsidRDefault="005D7049" w:rsidP="003E71C6">
            <w:pPr>
              <w:spacing w:after="0" w:line="240" w:lineRule="auto"/>
              <w:rPr>
                <w:rFonts w:eastAsia="Times New Roman"/>
              </w:rPr>
            </w:pPr>
            <w:r w:rsidRPr="00A617A9">
              <w:rPr>
                <w:rFonts w:eastAsia="Times New Roman"/>
              </w:rPr>
              <w:t xml:space="preserve">- </w:t>
            </w:r>
            <w:r w:rsidRPr="006D2B77">
              <w:rPr>
                <w:rFonts w:eastAsia="Times New Roman"/>
              </w:rPr>
              <w:t>female</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54.10%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56.2</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-2.06</w:t>
            </w:r>
            <w:r w:rsidRPr="00A617A9">
              <w:rPr>
                <w:rFonts w:eastAsia="Times New Roman"/>
              </w:rPr>
              <w:t xml:space="preserve"> pp</w:t>
            </w:r>
          </w:p>
        </w:tc>
      </w:tr>
      <w:tr w:rsidR="005D7049" w:rsidRPr="006D2B77" w:rsidTr="003E71C6">
        <w:trPr>
          <w:trHeight w:val="300"/>
          <w:jc w:val="center"/>
        </w:trPr>
        <w:tc>
          <w:tcPr>
            <w:tcW w:w="1487" w:type="pct"/>
            <w:shd w:val="clear" w:color="auto" w:fill="auto"/>
            <w:noWrap/>
            <w:vAlign w:val="center"/>
            <w:hideMark/>
          </w:tcPr>
          <w:p w:rsidR="005D7049" w:rsidRPr="006D2B77" w:rsidRDefault="005D7049" w:rsidP="003E71C6">
            <w:pPr>
              <w:spacing w:after="0" w:line="240" w:lineRule="auto"/>
              <w:rPr>
                <w:rFonts w:eastAsia="Times New Roman"/>
              </w:rPr>
            </w:pPr>
            <w:r w:rsidRPr="00A617A9">
              <w:rPr>
                <w:rFonts w:eastAsia="Times New Roman"/>
              </w:rPr>
              <w:t xml:space="preserve">- </w:t>
            </w:r>
            <w:r w:rsidRPr="006D2B77">
              <w:rPr>
                <w:rFonts w:eastAsia="Times New Roman"/>
              </w:rPr>
              <w:t>male</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45.90%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43.8</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2.06</w:t>
            </w:r>
            <w:r w:rsidRPr="00A617A9">
              <w:rPr>
                <w:rFonts w:eastAsia="Times New Roman"/>
              </w:rPr>
              <w:t xml:space="preserve"> pp</w:t>
            </w:r>
          </w:p>
        </w:tc>
      </w:tr>
      <w:tr w:rsidR="005D7049" w:rsidRPr="006D2B77" w:rsidTr="003E71C6">
        <w:trPr>
          <w:trHeight w:val="300"/>
          <w:jc w:val="center"/>
        </w:trPr>
        <w:tc>
          <w:tcPr>
            <w:tcW w:w="1487" w:type="pct"/>
            <w:shd w:val="clear" w:color="auto" w:fill="auto"/>
            <w:noWrap/>
            <w:vAlign w:val="center"/>
            <w:hideMark/>
          </w:tcPr>
          <w:p w:rsidR="005D7049" w:rsidRPr="006D2B77" w:rsidRDefault="005D7049" w:rsidP="003E71C6">
            <w:pPr>
              <w:spacing w:after="0" w:line="240" w:lineRule="auto"/>
              <w:rPr>
                <w:rFonts w:eastAsia="Times New Roman"/>
                <w:b/>
              </w:rPr>
            </w:pPr>
            <w:r w:rsidRPr="006D2B77">
              <w:rPr>
                <w:rFonts w:eastAsia="Times New Roman"/>
                <w:b/>
              </w:rPr>
              <w:t>Age</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p>
        </w:tc>
      </w:tr>
      <w:tr w:rsidR="005D7049" w:rsidRPr="006D2B77" w:rsidTr="003E71C6">
        <w:trPr>
          <w:trHeight w:val="30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r w:rsidRPr="006D2B77">
              <w:rPr>
                <w:rFonts w:eastAsia="Times New Roman"/>
              </w:rPr>
              <w:t>18-24</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6.25%</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8.2</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-1.91</w:t>
            </w:r>
            <w:r w:rsidRPr="00A617A9">
              <w:rPr>
                <w:rFonts w:eastAsia="Times New Roman"/>
              </w:rPr>
              <w:t xml:space="preserve"> pp</w:t>
            </w:r>
          </w:p>
        </w:tc>
      </w:tr>
      <w:tr w:rsidR="005D7049" w:rsidRPr="006D2B77" w:rsidTr="003E71C6">
        <w:trPr>
          <w:trHeight w:val="31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r w:rsidRPr="006D2B77">
              <w:rPr>
                <w:rFonts w:eastAsia="Times New Roman"/>
              </w:rPr>
              <w:t>25-34</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19.57%</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20.4</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-0.83</w:t>
            </w:r>
            <w:r w:rsidRPr="00A617A9">
              <w:rPr>
                <w:rFonts w:eastAsia="Times New Roman"/>
              </w:rPr>
              <w:t xml:space="preserve"> pp</w:t>
            </w:r>
          </w:p>
        </w:tc>
      </w:tr>
      <w:tr w:rsidR="005D7049" w:rsidRPr="006D2B77" w:rsidTr="003E71C6">
        <w:trPr>
          <w:trHeight w:val="30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r w:rsidRPr="006D2B77">
              <w:rPr>
                <w:rFonts w:eastAsia="Times New Roman"/>
              </w:rPr>
              <w:t>35-44</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21.33%</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21.0</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0.37</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r w:rsidRPr="006D2B77">
              <w:rPr>
                <w:rFonts w:eastAsia="Times New Roman"/>
              </w:rPr>
              <w:t>45-54</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12.77%</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13.6</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-0.83</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r w:rsidRPr="006D2B77">
              <w:rPr>
                <w:rFonts w:eastAsia="Times New Roman"/>
              </w:rPr>
              <w:t>55-64</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16.57%</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15.1</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1.45</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r w:rsidRPr="006D2B77">
              <w:rPr>
                <w:rFonts w:eastAsia="Times New Roman"/>
              </w:rPr>
              <w:t>65+</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23.50%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21.8</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1.74</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center"/>
            <w:hideMark/>
          </w:tcPr>
          <w:p w:rsidR="005D7049" w:rsidRPr="006D2B77" w:rsidRDefault="005D7049" w:rsidP="003E71C6">
            <w:pPr>
              <w:spacing w:after="0" w:line="240" w:lineRule="auto"/>
              <w:rPr>
                <w:rFonts w:eastAsia="Times New Roman"/>
                <w:b/>
              </w:rPr>
            </w:pPr>
            <w:r w:rsidRPr="006D2B77">
              <w:rPr>
                <w:rFonts w:eastAsia="Times New Roman"/>
                <w:b/>
              </w:rPr>
              <w:t>Education</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r w:rsidRPr="006D2B77">
              <w:rPr>
                <w:rFonts w:eastAsia="Times New Roman"/>
              </w:rPr>
              <w:t>higher (BA, MA, PhD)</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39.50%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40.1</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-0.58</w:t>
            </w:r>
            <w:r w:rsidRPr="00A617A9">
              <w:rPr>
                <w:rFonts w:eastAsia="Times New Roman"/>
              </w:rPr>
              <w:t xml:space="preserve"> pp</w:t>
            </w:r>
          </w:p>
        </w:tc>
      </w:tr>
      <w:tr w:rsidR="005D7049" w:rsidRPr="006D2B77" w:rsidTr="003E71C6">
        <w:trPr>
          <w:trHeight w:val="30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r w:rsidRPr="006D2B77">
              <w:rPr>
                <w:rFonts w:eastAsia="Times New Roman"/>
              </w:rPr>
              <w:t>medium</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39.40%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40.1</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-0.68</w:t>
            </w:r>
            <w:r w:rsidRPr="00A617A9">
              <w:rPr>
                <w:rFonts w:eastAsia="Times New Roman"/>
              </w:rPr>
              <w:t xml:space="preserve"> pp</w:t>
            </w:r>
          </w:p>
        </w:tc>
      </w:tr>
      <w:tr w:rsidR="005D7049" w:rsidRPr="006D2B77" w:rsidTr="003E71C6">
        <w:trPr>
          <w:trHeight w:val="30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r w:rsidRPr="006D2B77">
              <w:rPr>
                <w:rFonts w:eastAsia="Times New Roman"/>
              </w:rPr>
              <w:t xml:space="preserve">basic, </w:t>
            </w:r>
            <w:r w:rsidRPr="00A617A9">
              <w:rPr>
                <w:rFonts w:eastAsia="Times New Roman"/>
              </w:rPr>
              <w:t>vocational</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20.06%</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19.8</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0.22</w:t>
            </w:r>
            <w:r w:rsidRPr="00A617A9">
              <w:rPr>
                <w:rFonts w:eastAsia="Times New Roman"/>
              </w:rPr>
              <w:t xml:space="preserve"> pp</w:t>
            </w:r>
          </w:p>
        </w:tc>
      </w:tr>
      <w:tr w:rsidR="005D7049" w:rsidRPr="006D2B77" w:rsidTr="003E71C6">
        <w:trPr>
          <w:trHeight w:val="117"/>
          <w:jc w:val="center"/>
        </w:trPr>
        <w:tc>
          <w:tcPr>
            <w:tcW w:w="1487" w:type="pct"/>
            <w:shd w:val="clear" w:color="auto" w:fill="auto"/>
            <w:noWrap/>
            <w:vAlign w:val="center"/>
            <w:hideMark/>
          </w:tcPr>
          <w:p w:rsidR="005D7049" w:rsidRPr="006D2B77" w:rsidRDefault="005D7049" w:rsidP="003E71C6">
            <w:pPr>
              <w:spacing w:after="0" w:line="240" w:lineRule="auto"/>
              <w:rPr>
                <w:rFonts w:eastAsia="Times New Roman"/>
                <w:b/>
              </w:rPr>
            </w:pPr>
            <w:r w:rsidRPr="00A617A9">
              <w:rPr>
                <w:rFonts w:eastAsia="Times New Roman"/>
                <w:b/>
              </w:rPr>
              <w:t>R</w:t>
            </w:r>
            <w:r w:rsidRPr="006D2B77">
              <w:rPr>
                <w:rFonts w:eastAsia="Times New Roman"/>
                <w:b/>
              </w:rPr>
              <w:t>egion (city quarter)</w:t>
            </w:r>
          </w:p>
        </w:tc>
        <w:tc>
          <w:tcPr>
            <w:tcW w:w="1171" w:type="pct"/>
            <w:shd w:val="clear" w:color="auto" w:fill="auto"/>
            <w:noWrap/>
            <w:vAlign w:val="center"/>
          </w:tcPr>
          <w:p w:rsidR="005D7049" w:rsidRPr="006D2B77" w:rsidRDefault="005D7049" w:rsidP="003E71C6">
            <w:pPr>
              <w:spacing w:after="0" w:line="240" w:lineRule="auto"/>
              <w:jc w:val="center"/>
              <w:rPr>
                <w:rFonts w:eastAsia="Times New Roman"/>
              </w:rPr>
            </w:pPr>
          </w:p>
        </w:tc>
        <w:tc>
          <w:tcPr>
            <w:tcW w:w="1172" w:type="pct"/>
            <w:shd w:val="clear" w:color="auto" w:fill="auto"/>
            <w:noWrap/>
            <w:vAlign w:val="center"/>
          </w:tcPr>
          <w:p w:rsidR="005D7049" w:rsidRPr="006D2B77" w:rsidRDefault="005D7049" w:rsidP="003E71C6">
            <w:pPr>
              <w:spacing w:after="0" w:line="240" w:lineRule="auto"/>
              <w:jc w:val="center"/>
              <w:rPr>
                <w:rFonts w:eastAsia="Times New Roman"/>
              </w:rPr>
            </w:pPr>
          </w:p>
        </w:tc>
        <w:tc>
          <w:tcPr>
            <w:tcW w:w="1171" w:type="pct"/>
            <w:shd w:val="clear" w:color="auto" w:fill="auto"/>
            <w:noWrap/>
            <w:vAlign w:val="center"/>
          </w:tcPr>
          <w:p w:rsidR="005D7049" w:rsidRPr="006D2B77" w:rsidRDefault="005D7049" w:rsidP="003E71C6">
            <w:pPr>
              <w:spacing w:after="0" w:line="240" w:lineRule="auto"/>
              <w:jc w:val="center"/>
              <w:rPr>
                <w:rFonts w:eastAsia="Times New Roman"/>
              </w:rPr>
            </w:pPr>
          </w:p>
        </w:tc>
      </w:tr>
      <w:tr w:rsidR="005D7049" w:rsidRPr="006D2B77" w:rsidTr="003E71C6">
        <w:trPr>
          <w:trHeight w:val="31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Bemowo</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6.90%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7.0</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-0.06</w:t>
            </w:r>
            <w:r w:rsidRPr="00A617A9">
              <w:rPr>
                <w:rFonts w:eastAsia="Times New Roman"/>
              </w:rPr>
              <w:t xml:space="preserve"> pp</w:t>
            </w:r>
          </w:p>
        </w:tc>
      </w:tr>
      <w:tr w:rsidR="005D7049" w:rsidRPr="006D2B77" w:rsidTr="003E71C6">
        <w:trPr>
          <w:trHeight w:val="30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Białołęka</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6.60%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7.8</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-1.16</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Bielany</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7.50%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7.5</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-0.02</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Mokotów</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12.40%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12.8</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-0.40</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Ochota</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4.80%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4.7</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0.08</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Praga</w:t>
            </w:r>
            <w:proofErr w:type="spellEnd"/>
            <w:r w:rsidRPr="006D2B77">
              <w:rPr>
                <w:rFonts w:eastAsia="Times New Roman"/>
              </w:rPr>
              <w:t xml:space="preserve">- </w:t>
            </w:r>
            <w:proofErr w:type="spellStart"/>
            <w:r w:rsidRPr="006D2B77">
              <w:rPr>
                <w:rFonts w:eastAsia="Times New Roman"/>
              </w:rPr>
              <w:t>Południe</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10.20%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10.2</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0.04</w:t>
            </w:r>
            <w:r w:rsidRPr="00A617A9">
              <w:rPr>
                <w:rFonts w:eastAsia="Times New Roman"/>
              </w:rPr>
              <w:t xml:space="preserve"> pp</w:t>
            </w:r>
          </w:p>
        </w:tc>
      </w:tr>
      <w:tr w:rsidR="005D7049" w:rsidRPr="006D2B77" w:rsidTr="003E71C6">
        <w:trPr>
          <w:trHeight w:val="30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Praga-Północ</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3.80%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4.1</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-0.28</w:t>
            </w:r>
            <w:r w:rsidRPr="00A617A9">
              <w:rPr>
                <w:rFonts w:eastAsia="Times New Roman"/>
              </w:rPr>
              <w:t xml:space="preserve"> pp</w:t>
            </w:r>
          </w:p>
        </w:tc>
      </w:tr>
      <w:tr w:rsidR="005D7049" w:rsidRPr="006D2B77" w:rsidTr="003E71C6">
        <w:trPr>
          <w:trHeight w:val="30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Rembertów</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1.40%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1.2</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0.20</w:t>
            </w:r>
            <w:r w:rsidRPr="00A617A9">
              <w:rPr>
                <w:rFonts w:eastAsia="Times New Roman"/>
              </w:rPr>
              <w:t xml:space="preserve"> pp</w:t>
            </w:r>
          </w:p>
        </w:tc>
      </w:tr>
      <w:tr w:rsidR="005D7049" w:rsidRPr="006D2B77" w:rsidTr="003E71C6">
        <w:trPr>
          <w:trHeight w:val="30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Śródmieście</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6.70%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6.8</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-0.10</w:t>
            </w:r>
            <w:r w:rsidRPr="00A617A9">
              <w:rPr>
                <w:rFonts w:eastAsia="Times New Roman"/>
              </w:rPr>
              <w:t xml:space="preserve"> pp</w:t>
            </w:r>
          </w:p>
        </w:tc>
      </w:tr>
      <w:tr w:rsidR="005D7049" w:rsidRPr="006D2B77" w:rsidTr="003E71C6">
        <w:trPr>
          <w:trHeight w:val="31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Targówek</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7.00%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6.6</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0.36</w:t>
            </w:r>
            <w:r w:rsidRPr="00A617A9">
              <w:rPr>
                <w:rFonts w:eastAsia="Times New Roman"/>
              </w:rPr>
              <w:t xml:space="preserve"> pp</w:t>
            </w:r>
          </w:p>
        </w:tc>
      </w:tr>
      <w:tr w:rsidR="005D7049" w:rsidRPr="006D2B77" w:rsidTr="003E71C6">
        <w:trPr>
          <w:trHeight w:val="30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Ursus</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3.30%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3.2</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0.10</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Ursynów</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8.50%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8.6</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-0.14</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Wawer</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4.30%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3.0</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1.34</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Wesoła</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1.40%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0.8</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0.60</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r w:rsidRPr="006D2B77">
              <w:rPr>
                <w:rFonts w:eastAsia="Times New Roman"/>
              </w:rPr>
              <w:t>Wilanów</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2.00%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2.3</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-0.32</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Włochy</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2.40%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2.4</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0.00</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Wola</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7.90%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7.7</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0.22</w:t>
            </w:r>
            <w:r w:rsidRPr="00A617A9">
              <w:rPr>
                <w:rFonts w:eastAsia="Times New Roman"/>
              </w:rPr>
              <w:t xml:space="preserve"> pp</w:t>
            </w:r>
          </w:p>
        </w:tc>
      </w:tr>
      <w:tr w:rsidR="005D7049" w:rsidRPr="006D2B77" w:rsidTr="003E71C6">
        <w:trPr>
          <w:trHeight w:val="290"/>
          <w:jc w:val="center"/>
        </w:trPr>
        <w:tc>
          <w:tcPr>
            <w:tcW w:w="1487" w:type="pct"/>
            <w:shd w:val="clear" w:color="auto" w:fill="auto"/>
            <w:noWrap/>
            <w:vAlign w:val="bottom"/>
            <w:hideMark/>
          </w:tcPr>
          <w:p w:rsidR="005D7049" w:rsidRPr="006D2B77" w:rsidRDefault="005D7049" w:rsidP="003E71C6">
            <w:pPr>
              <w:spacing w:after="0" w:line="240" w:lineRule="auto"/>
              <w:rPr>
                <w:rFonts w:eastAsia="Times New Roman"/>
              </w:rPr>
            </w:pPr>
            <w:r w:rsidRPr="00A617A9">
              <w:rPr>
                <w:rFonts w:eastAsia="Times New Roman"/>
              </w:rPr>
              <w:t xml:space="preserve">- </w:t>
            </w:r>
            <w:proofErr w:type="spellStart"/>
            <w:r w:rsidRPr="006D2B77">
              <w:rPr>
                <w:rFonts w:eastAsia="Times New Roman"/>
              </w:rPr>
              <w:t>Żoliborz</w:t>
            </w:r>
            <w:proofErr w:type="spellEnd"/>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2.90%</w:t>
            </w:r>
          </w:p>
        </w:tc>
        <w:tc>
          <w:tcPr>
            <w:tcW w:w="1172"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3.4</w:t>
            </w:r>
            <w:r w:rsidRPr="00A617A9">
              <w:rPr>
                <w:rFonts w:eastAsia="Times New Roman"/>
              </w:rPr>
              <w:t>%</w:t>
            </w:r>
          </w:p>
        </w:tc>
        <w:tc>
          <w:tcPr>
            <w:tcW w:w="1171" w:type="pct"/>
            <w:shd w:val="clear" w:color="auto" w:fill="auto"/>
            <w:noWrap/>
            <w:vAlign w:val="center"/>
            <w:hideMark/>
          </w:tcPr>
          <w:p w:rsidR="005D7049" w:rsidRPr="006D2B77" w:rsidRDefault="005D7049" w:rsidP="003E71C6">
            <w:pPr>
              <w:spacing w:after="0" w:line="240" w:lineRule="auto"/>
              <w:jc w:val="center"/>
              <w:rPr>
                <w:rFonts w:eastAsia="Times New Roman"/>
              </w:rPr>
            </w:pPr>
            <w:r w:rsidRPr="006D2B77">
              <w:rPr>
                <w:rFonts w:eastAsia="Times New Roman"/>
              </w:rPr>
              <w:t>-0.46</w:t>
            </w:r>
            <w:r w:rsidRPr="00A617A9">
              <w:rPr>
                <w:rFonts w:eastAsia="Times New Roman"/>
              </w:rPr>
              <w:t xml:space="preserve"> pp</w:t>
            </w:r>
          </w:p>
        </w:tc>
      </w:tr>
    </w:tbl>
    <w:p w:rsidR="007F3E38" w:rsidRDefault="00CF0DF9"/>
    <w:sectPr w:rsidR="007F3E3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F512E5"/>
    <w:multiLevelType w:val="hybridMultilevel"/>
    <w:tmpl w:val="07EE8BCC"/>
    <w:lvl w:ilvl="0" w:tplc="DE2E071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049"/>
    <w:rsid w:val="001025CF"/>
    <w:rsid w:val="002179BA"/>
    <w:rsid w:val="004C20DA"/>
    <w:rsid w:val="005D7049"/>
    <w:rsid w:val="00B025BC"/>
    <w:rsid w:val="00C82CAE"/>
    <w:rsid w:val="00CF0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B3C1D"/>
  <w15:chartTrackingRefBased/>
  <w15:docId w15:val="{86519FBC-F323-46A1-8D08-CB69E3D4B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D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229</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Warsaw</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Czajkowski</dc:creator>
  <cp:keywords/>
  <dc:description/>
  <cp:lastModifiedBy>Mikołaj Czajkowski</cp:lastModifiedBy>
  <cp:revision>2</cp:revision>
  <dcterms:created xsi:type="dcterms:W3CDTF">2020-08-20T16:03:00Z</dcterms:created>
  <dcterms:modified xsi:type="dcterms:W3CDTF">2020-12-22T15:51:00Z</dcterms:modified>
</cp:coreProperties>
</file>